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80" w:type="dxa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5"/>
        <w:gridCol w:w="2160"/>
        <w:gridCol w:w="1575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31"/>
                <w:szCs w:val="31"/>
                <w:bdr w:val="none" w:color="auto" w:sz="0" w:space="0"/>
              </w:rPr>
              <w:t>2023年梁山县事业单位“优才计划”报名情况统计（ 截至19日17:00）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引才单位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引才岗位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引进人数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报名人数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梁山县-中共梁山县委-中共梁山县委党校（梁山县行政学校、梁山县社会主义学校）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梁山县-中共梁山县委-中共梁山县委党校（梁山县行政学校、梁山县社会主义学校）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梁山县-中共梁山县委-梁山县社会治理服务中心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03-督导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梁山县-中共梁山县委-梁山县融媒体中心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04-专业技术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梁山县-中共梁山县委-梁山县法学会机关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05-综合管理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梁山县-中共梁山县委-梁山县中华职业教育社机关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06-综合管理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梁山县-梁山县财政局-梁山县财政事务服务中心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07-财务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梁山县-梁山县自然资源和规划局-梁山县林业保护和发展服务中心（梁山县湿地保护中心、梁山县野生动植物保护中心）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08-林业保护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梁山县-梁山县自然资源和规划局-梁山县规划服务中心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09-规划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梁山县-梁山县住房和城乡建设局-梁山县城乡建设管理服务中心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10-规划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梁山县-梁山县交通运输局-梁山县交通运输综合执法大队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11-综合管理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梁山县-梁山县水务局-梁山县河湖事务服务中心（梁山县南水北调项目工程维护中心）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12-水利工程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梁山县-梁山县农业农村局-梁山县农业技术推广中心（山东省农业广播电视学校梁山县分校、梁山县农业经营服务中心）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13-农业技术推广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梁山县-梁山县文化和旅游局-梁山县文化市场综合执法大队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14-综合管理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梁山县-梁山县统计局-梁山县统计数据中心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15-统计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01-数学教师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02-英语教师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03-政治教师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04-历史教师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05-地理教师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06-物理教师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07-化学教师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08-历史教师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09-政治教师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10-数学教师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11-语文教师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12-机械教师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01-临床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02-临床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03-临床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04-中医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05-中医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06-中医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07-中医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08-中医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0" w:afterAutospacing="0" w:line="450" w:lineRule="atLeast"/>
        <w:ind w:left="0" w:right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3C5D3E2B"/>
    <w:rsid w:val="3C5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2023-02-20T00:19:00Z</dcterms:created>
  <dc:creator>Administrator</dc:creator>
  <cp:lastModifiedBy>Administrator</cp:lastModifiedBy>
  <dcterms:modified xsi:type="dcterms:W3CDTF">2023-02-20T00:19:56Z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7467C45A2B2C4A3B8EE4E642412D0C13</vt:lpwstr>
  </property>
</Properties>
</file>