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德州市生态环境局所属事业单位优秀青年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人才面谈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2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中等线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DlmZDEzMjlmNmVlMTk4ZDhiMDkyNDhhZDBmZjk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8297678"/>
    <w:rsid w:val="355BC42A"/>
    <w:rsid w:val="64163D10"/>
    <w:rsid w:val="6E1978A4"/>
    <w:rsid w:val="70D0672C"/>
    <w:rsid w:val="757F822D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300</Characters>
  <Lines>4</Lines>
  <Paragraphs>1</Paragraphs>
  <TotalTime>40</TotalTime>
  <ScaleCrop>false</ScaleCrop>
  <LinksUpToDate>false</LinksUpToDate>
  <CharactersWithSpaces>343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2020-02-08T03:01:00Z</dcterms:created>
  <dc:creator>赵东军</dc:creator>
  <cp:lastModifiedBy>user</cp:lastModifiedBy>
  <cp:lastPrinted>2024-03-18T15:59:51Z</cp:lastPrinted>
  <dcterms:modified xsi:type="dcterms:W3CDTF">2024-03-18T16:08:54Z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BB584DD77BD4415C8A87DF28D08C7132</vt:lpwstr>
  </property>
</Properties>
</file>